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7162F131" w:rsidR="00FA05DB" w:rsidRDefault="00370878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BCBD7AA" wp14:editId="561D8E8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2FED6D4C" w:rsidR="00FA05DB" w:rsidRPr="00786025" w:rsidRDefault="00370878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5677D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786025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77D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8FA29E4" w14:textId="77777777" w:rsidR="00370878" w:rsidRPr="00F10C7D" w:rsidRDefault="00370878" w:rsidP="00370878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399DE22A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0AA0" w14:textId="1C77DFB7" w:rsidR="005677DE" w:rsidRDefault="00652A06" w:rsidP="005677D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6920FE0" w:rsidR="00652A06" w:rsidRPr="005677DE" w:rsidRDefault="005677DE" w:rsidP="005677DE">
            <w:pPr>
              <w:jc w:val="center"/>
              <w:rPr>
                <w:sz w:val="28"/>
                <w:szCs w:val="28"/>
                <w:lang w:val="ru-RU"/>
              </w:rPr>
            </w:pPr>
            <w:r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52A0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FB0E3FE" w:rsidR="00652A06" w:rsidRPr="00652A06" w:rsidRDefault="0037087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ДОП.01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22D6DDC5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</w:t>
      </w:r>
      <w:r w:rsidR="003C0FBC">
        <w:rPr>
          <w:sz w:val="28"/>
          <w:szCs w:val="28"/>
          <w:lang w:val="ru-RU"/>
        </w:rPr>
        <w:t>гостиничных</w:t>
      </w:r>
      <w:r w:rsidRPr="00275504">
        <w:rPr>
          <w:sz w:val="28"/>
          <w:szCs w:val="28"/>
          <w:lang w:val="ru-RU"/>
        </w:rPr>
        <w:t xml:space="preserve"> услуг)</w:t>
      </w:r>
    </w:p>
    <w:p w14:paraId="5027756B" w14:textId="77777777" w:rsidR="00370878" w:rsidRDefault="00370878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4D045E73" w14:textId="1AC2CB24" w:rsidR="0087390F" w:rsidRPr="0087390F" w:rsidRDefault="003C0FBC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квалификация выпускника: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185FAA2E" w14:textId="77777777" w:rsidR="00790051" w:rsidRPr="00790051" w:rsidRDefault="00790051" w:rsidP="00790051">
      <w:pPr>
        <w:autoSpaceDN w:val="0"/>
        <w:jc w:val="center"/>
        <w:rPr>
          <w:sz w:val="28"/>
          <w:szCs w:val="28"/>
          <w:lang w:val="ru-RU"/>
        </w:rPr>
      </w:pPr>
      <w:r w:rsidRPr="00790051">
        <w:rPr>
          <w:sz w:val="28"/>
          <w:szCs w:val="28"/>
          <w:lang w:val="ru-RU"/>
        </w:rPr>
        <w:t>Год начала подготовки: 2025</w:t>
      </w: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790051">
      <w:pPr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4D0642A" w14:textId="77777777" w:rsidR="00370878" w:rsidRDefault="00370878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 xml:space="preserve">Новосибирск </w:t>
      </w:r>
    </w:p>
    <w:p w14:paraId="41E60679" w14:textId="3BB57D85" w:rsidR="00652A06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37087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790051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790051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67E44C0D" w:rsidR="00FA05DB" w:rsidRPr="007E6DDD" w:rsidRDefault="00FA05DB" w:rsidP="00790051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677DE" w:rsidRPr="005677D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677DE" w:rsidRPr="0027550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>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(направленность предоставление </w:t>
                  </w:r>
                  <w:r w:rsidR="003C0FBC">
                    <w:rPr>
                      <w:sz w:val="28"/>
                      <w:szCs w:val="28"/>
                      <w:lang w:val="ru-RU"/>
                    </w:rPr>
                    <w:t>гостиничных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90051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790051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90051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90051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90051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90051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3C0FB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018FC81" w:rsidR="00FA05DB" w:rsidRPr="001B7074" w:rsidRDefault="00370878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5677DE" w:rsidRPr="005677DE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677DE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790051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90051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E08CF9F" w:rsidR="006C0DF2" w:rsidRPr="005677DE" w:rsidRDefault="006C0DF2" w:rsidP="00AC23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790051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90051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90051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D84C9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0311CE8C" w:rsidR="006C0DF2" w:rsidRPr="009237E5" w:rsidRDefault="002C0098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790051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90051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790051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584BF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612064A4" w14:textId="364BE824" w:rsidR="006C0DF2" w:rsidRPr="009237E5" w:rsidRDefault="002C0098" w:rsidP="00405D6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7D0C604E" w:rsidR="006C0DF2" w:rsidRPr="005677DE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5677DE"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790051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90051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90051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74F2076" w14:textId="02050CF3" w:rsidR="005677DE" w:rsidRPr="005677DE" w:rsidRDefault="005677DE" w:rsidP="005677DE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5677DE">
        <w:rPr>
          <w:b/>
          <w:bCs/>
          <w:sz w:val="28"/>
          <w:szCs w:val="28"/>
          <w:lang w:val="ru-RU"/>
        </w:rPr>
        <w:t>ОБЩЕОБРАЗОВАТЕЛЬНОЙ</w:t>
      </w:r>
    </w:p>
    <w:p w14:paraId="04266942" w14:textId="0883C56A" w:rsidR="00BD7B17" w:rsidRPr="005677DE" w:rsidRDefault="005677DE" w:rsidP="00D1498D">
      <w:pPr>
        <w:jc w:val="center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 ДИСЦИПЛИНЫ</w:t>
      </w:r>
    </w:p>
    <w:p w14:paraId="0D7DE9DD" w14:textId="25ECBF78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1.1 Место дисциплины в структуре образовательной программы СПО </w:t>
      </w:r>
      <w:r w:rsidRPr="00E85C8F">
        <w:rPr>
          <w:sz w:val="28"/>
          <w:szCs w:val="28"/>
          <w:lang w:val="ru-RU"/>
        </w:rPr>
        <w:t xml:space="preserve">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5677DE">
        <w:rPr>
          <w:sz w:val="28"/>
          <w:szCs w:val="28"/>
          <w:lang w:val="ru-RU"/>
        </w:rPr>
        <w:t>ОП</w:t>
      </w:r>
      <w:r w:rsidR="007862AA">
        <w:rPr>
          <w:sz w:val="28"/>
          <w:szCs w:val="28"/>
          <w:lang w:val="ru-RU"/>
        </w:rPr>
        <w:t>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</w:t>
      </w:r>
      <w:r w:rsidR="003C0FBC">
        <w:rPr>
          <w:sz w:val="28"/>
          <w:szCs w:val="28"/>
          <w:lang w:val="ru-RU"/>
        </w:rPr>
        <w:t>е гостиничных</w:t>
      </w:r>
      <w:r w:rsidR="00D1498D" w:rsidRPr="00275504">
        <w:rPr>
          <w:sz w:val="28"/>
          <w:szCs w:val="28"/>
          <w:lang w:val="ru-RU"/>
        </w:rPr>
        <w:t xml:space="preserve">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5677DE" w:rsidRDefault="00E85C8F" w:rsidP="00D1498D">
      <w:pPr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1.2.1.</w:t>
      </w:r>
      <w:r w:rsidRPr="005677DE">
        <w:rPr>
          <w:b/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1.2.2.</w:t>
      </w:r>
      <w:r w:rsidRPr="005677DE">
        <w:rPr>
          <w:b/>
          <w:sz w:val="28"/>
          <w:szCs w:val="28"/>
          <w:lang w:val="ru-RU"/>
        </w:rPr>
        <w:tab/>
        <w:t xml:space="preserve">Планируемые результаты освоения общеобразовательной дисциплины в соответствии с </w:t>
      </w:r>
      <w:r w:rsidR="007862AA" w:rsidRPr="005677DE">
        <w:rPr>
          <w:b/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5677DE">
        <w:rPr>
          <w:b/>
          <w:sz w:val="28"/>
          <w:szCs w:val="28"/>
          <w:lang w:val="ru-RU"/>
        </w:rPr>
        <w:t xml:space="preserve">и на основе </w:t>
      </w:r>
      <w:r w:rsidR="007862AA" w:rsidRPr="005677DE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5677DE">
        <w:rPr>
          <w:b/>
          <w:sz w:val="28"/>
          <w:szCs w:val="28"/>
          <w:lang w:val="ru-RU"/>
        </w:rPr>
        <w:t xml:space="preserve"> </w:t>
      </w:r>
      <w:r w:rsidR="007862AA" w:rsidRPr="005677DE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lastRenderedPageBreak/>
        <w:t xml:space="preserve">Особое значение дисциплина имеет при формировании </w:t>
      </w:r>
      <w:proofErr w:type="gramStart"/>
      <w:r w:rsidRPr="005677DE">
        <w:rPr>
          <w:b/>
          <w:sz w:val="28"/>
          <w:szCs w:val="28"/>
          <w:lang w:val="ru-RU"/>
        </w:rPr>
        <w:t>ОК</w:t>
      </w:r>
      <w:proofErr w:type="gramEnd"/>
      <w:r w:rsidR="007862AA" w:rsidRPr="005677DE">
        <w:rPr>
          <w:b/>
          <w:sz w:val="28"/>
          <w:szCs w:val="28"/>
          <w:lang w:val="ru-RU"/>
        </w:rPr>
        <w:t>:</w:t>
      </w:r>
      <w:r w:rsidRPr="005677DE">
        <w:rPr>
          <w:b/>
          <w:sz w:val="28"/>
          <w:szCs w:val="28"/>
          <w:lang w:val="ru-RU"/>
        </w:rPr>
        <w:t xml:space="preserve"> </w:t>
      </w:r>
    </w:p>
    <w:p w14:paraId="606CE522" w14:textId="77777777" w:rsidR="00E85C8F" w:rsidRPr="005677DE" w:rsidRDefault="00E85C8F" w:rsidP="007E6DDD">
      <w:pPr>
        <w:rPr>
          <w:b/>
          <w:sz w:val="28"/>
          <w:szCs w:val="28"/>
          <w:lang w:val="ru-RU"/>
        </w:rPr>
        <w:sectPr w:rsidR="00E85C8F" w:rsidRPr="005677DE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790051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790051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790051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790051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790051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790051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790051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790051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790051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790051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790051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790051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790051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790051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790051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790051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790051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790051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790051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790051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790051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790051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790051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790051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790051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790051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790051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790051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5677DE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4EC21" w14:textId="77777777" w:rsidR="005677D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3C3B096" w:rsidR="006147E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5677DE" w:rsidRDefault="006147EE" w:rsidP="0056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790051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16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2"/>
              <w:gridCol w:w="1134"/>
              <w:gridCol w:w="6593"/>
              <w:gridCol w:w="10"/>
              <w:gridCol w:w="35"/>
              <w:gridCol w:w="279"/>
              <w:gridCol w:w="688"/>
              <w:gridCol w:w="5866"/>
              <w:gridCol w:w="309"/>
            </w:tblGrid>
            <w:tr w:rsidR="003C0FBC" w:rsidRPr="006B1253" w14:paraId="684C9B35" w14:textId="6E7E1169" w:rsidTr="003C0FBC">
              <w:trPr>
                <w:trHeight w:val="279"/>
              </w:trPr>
              <w:tc>
                <w:tcPr>
                  <w:tcW w:w="924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3C0FBC" w:rsidRPr="006B1253" w:rsidRDefault="003C0FBC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6EC39" w14:textId="77777777" w:rsidR="003C0FBC" w:rsidRPr="006B1253" w:rsidRDefault="003C0FBC" w:rsidP="008B6E04">
                  <w:pPr>
                    <w:jc w:val="center"/>
                  </w:pPr>
                </w:p>
              </w:tc>
              <w:tc>
                <w:tcPr>
                  <w:tcW w:w="96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405FE52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0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6EEB11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3C0FBC" w:rsidRPr="006B1253" w14:paraId="23FAE6DA" w14:textId="4DA35A43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92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24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ECAA28C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6147EE" w:rsidRPr="00790051" w14:paraId="738FA850" w14:textId="77777777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1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66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14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790051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790051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90051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0051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0051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0051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0051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0051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790051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790051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790051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790051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790051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790051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790051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0051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790051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0051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790051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0051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0051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790051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0051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0051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="00790051">
                    <w:fldChar w:fldCharType="begin"/>
                  </w:r>
                  <w:r w:rsidR="00790051" w:rsidRPr="00790051">
                    <w:rPr>
                      <w:lang w:val="ru-RU"/>
                    </w:rPr>
                    <w:instrText xml:space="preserve"> </w:instrText>
                  </w:r>
                  <w:r w:rsidR="00790051">
                    <w:instrText>HYPERLINK</w:instrText>
                  </w:r>
                  <w:r w:rsidR="00790051" w:rsidRPr="00790051">
                    <w:rPr>
                      <w:lang w:val="ru-RU"/>
                    </w:rPr>
                    <w:instrText xml:space="preserve"> "</w:instrText>
                  </w:r>
                  <w:r w:rsidR="00790051">
                    <w:instrText>http</w:instrText>
                  </w:r>
                  <w:r w:rsidR="00790051" w:rsidRPr="00790051">
                    <w:rPr>
                      <w:lang w:val="ru-RU"/>
                    </w:rPr>
                    <w:instrText>://</w:instrText>
                  </w:r>
                  <w:r w:rsidR="00790051">
                    <w:instrText>www</w:instrText>
                  </w:r>
                  <w:r w:rsidR="00790051" w:rsidRPr="00790051">
                    <w:rPr>
                      <w:lang w:val="ru-RU"/>
                    </w:rPr>
                    <w:instrText>.</w:instrText>
                  </w:r>
                  <w:r w:rsidR="00790051">
                    <w:instrText>znanium</w:instrText>
                  </w:r>
                  <w:r w:rsidR="00790051" w:rsidRPr="00790051">
                    <w:rPr>
                      <w:lang w:val="ru-RU"/>
                    </w:rPr>
                    <w:instrText>.</w:instrText>
                  </w:r>
                  <w:r w:rsidR="00790051">
                    <w:instrText>com</w:instrText>
                  </w:r>
                  <w:r w:rsidR="00790051" w:rsidRPr="00790051">
                    <w:rPr>
                      <w:lang w:val="ru-RU"/>
                    </w:rPr>
                    <w:instrText xml:space="preserve">" </w:instrText>
                  </w:r>
                  <w:r w:rsidR="00790051">
                    <w:fldChar w:fldCharType="separate"/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www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proofErr w:type="spellStart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znanium</w:t>
                  </w:r>
                  <w:proofErr w:type="spellEnd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com</w:t>
                  </w:r>
                  <w:r w:rsidR="00790051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fldChar w:fldCharType="end"/>
                  </w:r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790051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790051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790051" w14:paraId="3E12A215" w14:textId="77777777" w:rsidTr="003C0FBC">
        <w:trPr>
          <w:trHeight w:val="1408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7390F" w:rsidRDefault="0087390F">
      <w:r>
        <w:separator/>
      </w:r>
    </w:p>
  </w:endnote>
  <w:endnote w:type="continuationSeparator" w:id="0">
    <w:p w14:paraId="5D0C7229" w14:textId="77777777" w:rsidR="0087390F" w:rsidRDefault="0087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7390F" w:rsidRDefault="0087390F">
      <w:r>
        <w:separator/>
      </w:r>
    </w:p>
  </w:footnote>
  <w:footnote w:type="continuationSeparator" w:id="0">
    <w:p w14:paraId="2D54B448" w14:textId="77777777" w:rsidR="0087390F" w:rsidRDefault="0087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70878"/>
    <w:rsid w:val="003824BC"/>
    <w:rsid w:val="003A5B07"/>
    <w:rsid w:val="003B25DE"/>
    <w:rsid w:val="003B2D6F"/>
    <w:rsid w:val="003C0FBC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77DE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0051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54970-2821-4FC0-8C0B-A5553D42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26</Pages>
  <Words>4102</Words>
  <Characters>31050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31</cp:revision>
  <cp:lastPrinted>2023-08-28T06:50:00Z</cp:lastPrinted>
  <dcterms:created xsi:type="dcterms:W3CDTF">2023-06-16T02:09:00Z</dcterms:created>
  <dcterms:modified xsi:type="dcterms:W3CDTF">2025-11-19T07:51:00Z</dcterms:modified>
</cp:coreProperties>
</file>